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009FD0" w14:textId="77777777" w:rsidR="00F37326" w:rsidRDefault="00F37326" w:rsidP="00A16D89">
      <w:pPr>
        <w:spacing w:line="360" w:lineRule="auto"/>
        <w:jc w:val="center"/>
        <w:rPr>
          <w:rFonts w:ascii="Arial" w:hAnsi="Arial"/>
          <w:b/>
          <w:bCs/>
          <w:color w:val="000000"/>
          <w:w w:val="150"/>
          <w:szCs w:val="24"/>
          <w:rtl/>
        </w:rPr>
      </w:pPr>
      <w:bookmarkStart w:id="0" w:name="_GoBack"/>
      <w:bookmarkEnd w:id="0"/>
    </w:p>
    <w:p w14:paraId="23F5B92E" w14:textId="4E2F958E" w:rsidR="005A6970" w:rsidRDefault="005A6970" w:rsidP="007621EB">
      <w:pPr>
        <w:jc w:val="center"/>
        <w:rPr>
          <w:b/>
          <w:bCs/>
          <w:szCs w:val="24"/>
          <w:rtl/>
        </w:rPr>
      </w:pPr>
      <w:r w:rsidRPr="008E75DA">
        <w:rPr>
          <w:rFonts w:hint="cs"/>
          <w:b/>
          <w:bCs/>
          <w:szCs w:val="24"/>
          <w:rtl/>
        </w:rPr>
        <w:t xml:space="preserve">מכרז פומבי מס' </w:t>
      </w:r>
      <w:r w:rsidR="007621EB">
        <w:rPr>
          <w:rFonts w:hint="cs"/>
          <w:b/>
          <w:bCs/>
          <w:szCs w:val="24"/>
          <w:rtl/>
        </w:rPr>
        <w:t>5/14 לקבלת שירותי ייעוץ ותכנון אסטרטגי עבור רשות הגז הטבעי</w:t>
      </w:r>
    </w:p>
    <w:p w14:paraId="12894C8B" w14:textId="77777777" w:rsidR="007621EB" w:rsidRDefault="007621EB" w:rsidP="007621EB">
      <w:pPr>
        <w:jc w:val="center"/>
        <w:rPr>
          <w:b/>
          <w:bCs/>
          <w:szCs w:val="24"/>
          <w:rtl/>
        </w:rPr>
      </w:pPr>
    </w:p>
    <w:p w14:paraId="360EDFAF" w14:textId="77777777" w:rsidR="007621EB" w:rsidRDefault="007621EB" w:rsidP="007621EB">
      <w:pPr>
        <w:autoSpaceDE w:val="0"/>
        <w:autoSpaceDN w:val="0"/>
        <w:adjustRightInd w:val="0"/>
        <w:spacing w:line="360" w:lineRule="auto"/>
        <w:jc w:val="both"/>
        <w:rPr>
          <w:rFonts w:ascii="Arial" w:hAnsi="Arial"/>
          <w:szCs w:val="24"/>
          <w:rtl/>
        </w:rPr>
      </w:pPr>
      <w:bookmarkStart w:id="1" w:name="Start"/>
      <w:bookmarkEnd w:id="1"/>
    </w:p>
    <w:p w14:paraId="36468C84" w14:textId="3C02E8B3" w:rsidR="00B4706C" w:rsidRPr="007621EB" w:rsidRDefault="00B4706C" w:rsidP="007621EB">
      <w:pPr>
        <w:autoSpaceDE w:val="0"/>
        <w:autoSpaceDN w:val="0"/>
        <w:adjustRightInd w:val="0"/>
        <w:spacing w:line="360" w:lineRule="auto"/>
        <w:jc w:val="both"/>
        <w:rPr>
          <w:rFonts w:ascii="Arial" w:hAnsi="Arial"/>
          <w:b/>
          <w:bCs/>
          <w:szCs w:val="24"/>
          <w:rtl/>
        </w:rPr>
      </w:pPr>
      <w:r w:rsidRPr="007621EB">
        <w:rPr>
          <w:rFonts w:ascii="Arial" w:hAnsi="Arial"/>
          <w:szCs w:val="24"/>
          <w:rtl/>
        </w:rPr>
        <w:t>משרד</w:t>
      </w:r>
      <w:r w:rsidRPr="007621EB">
        <w:rPr>
          <w:rFonts w:ascii="Arial" w:hAnsi="Arial" w:hint="cs"/>
          <w:szCs w:val="24"/>
          <w:rtl/>
        </w:rPr>
        <w:t xml:space="preserve"> התשתיות הלאומיות,</w:t>
      </w:r>
      <w:r w:rsidRPr="007621EB">
        <w:rPr>
          <w:rFonts w:ascii="Arial" w:hAnsi="Arial"/>
          <w:szCs w:val="24"/>
          <w:rtl/>
        </w:rPr>
        <w:t xml:space="preserve"> </w:t>
      </w:r>
      <w:r w:rsidRPr="007621EB">
        <w:rPr>
          <w:rFonts w:ascii="Arial" w:hAnsi="Arial" w:hint="cs"/>
          <w:szCs w:val="24"/>
          <w:rtl/>
        </w:rPr>
        <w:t>האנרגיה והמים באמצעות</w:t>
      </w:r>
      <w:r w:rsidRPr="007621EB">
        <w:rPr>
          <w:rFonts w:ascii="Arial" w:hAnsi="Arial"/>
          <w:szCs w:val="24"/>
          <w:rtl/>
        </w:rPr>
        <w:t xml:space="preserve"> </w:t>
      </w:r>
      <w:r w:rsidR="007621EB" w:rsidRPr="007621EB">
        <w:rPr>
          <w:rFonts w:ascii="Arial" w:hAnsi="Arial"/>
          <w:szCs w:val="24"/>
          <w:rtl/>
        </w:rPr>
        <w:t xml:space="preserve">רשות הגז הטבעי </w:t>
      </w:r>
      <w:r w:rsidRPr="007621EB">
        <w:rPr>
          <w:rFonts w:ascii="Arial" w:hAnsi="Arial"/>
          <w:szCs w:val="24"/>
          <w:rtl/>
        </w:rPr>
        <w:t xml:space="preserve">מפרסם בזאת מכרז </w:t>
      </w:r>
      <w:r w:rsidR="00CD617B" w:rsidRPr="007621EB">
        <w:rPr>
          <w:rFonts w:ascii="Arial" w:hAnsi="Arial" w:hint="cs"/>
          <w:szCs w:val="24"/>
          <w:rtl/>
        </w:rPr>
        <w:t xml:space="preserve"> </w:t>
      </w:r>
      <w:r w:rsidR="007621EB" w:rsidRPr="007621EB">
        <w:rPr>
          <w:rFonts w:ascii="Arial" w:hAnsi="Arial" w:hint="cs"/>
          <w:szCs w:val="24"/>
          <w:rtl/>
        </w:rPr>
        <w:t xml:space="preserve">לקבלת הצעות למתן ייעוץ ותכנון אסטרטגי </w:t>
      </w:r>
      <w:r w:rsidR="00CD617B" w:rsidRPr="007621EB">
        <w:rPr>
          <w:rFonts w:ascii="Arial" w:hAnsi="Arial" w:hint="cs"/>
          <w:szCs w:val="24"/>
          <w:rtl/>
        </w:rPr>
        <w:t xml:space="preserve"> </w:t>
      </w:r>
      <w:r w:rsidRPr="007621EB">
        <w:rPr>
          <w:rFonts w:ascii="Arial" w:hAnsi="Arial" w:hint="cs"/>
          <w:szCs w:val="24"/>
          <w:rtl/>
        </w:rPr>
        <w:t xml:space="preserve">והכול </w:t>
      </w:r>
      <w:r w:rsidRPr="007621EB">
        <w:rPr>
          <w:rFonts w:ascii="Arial" w:hAnsi="Arial"/>
          <w:szCs w:val="24"/>
          <w:rtl/>
        </w:rPr>
        <w:t>כמפורט במסמכי המכרז</w:t>
      </w:r>
      <w:r w:rsidRPr="007621EB">
        <w:rPr>
          <w:rFonts w:ascii="Arial" w:hAnsi="Arial" w:hint="cs"/>
          <w:szCs w:val="24"/>
          <w:rtl/>
        </w:rPr>
        <w:t xml:space="preserve"> ובמפרט המכרז.</w:t>
      </w:r>
    </w:p>
    <w:p w14:paraId="4C7BEFE8" w14:textId="77777777" w:rsidR="00B84FD4" w:rsidRPr="007621EB" w:rsidRDefault="00B84FD4" w:rsidP="00CD617B">
      <w:pPr>
        <w:autoSpaceDE w:val="0"/>
        <w:autoSpaceDN w:val="0"/>
        <w:adjustRightInd w:val="0"/>
        <w:spacing w:line="360" w:lineRule="auto"/>
        <w:jc w:val="both"/>
        <w:rPr>
          <w:rFonts w:ascii="Arial" w:hAnsi="Arial"/>
          <w:b/>
          <w:bCs/>
          <w:szCs w:val="24"/>
          <w:rtl/>
        </w:rPr>
      </w:pPr>
    </w:p>
    <w:p w14:paraId="51AC36DB" w14:textId="77777777" w:rsidR="00B4706C" w:rsidRPr="007621EB" w:rsidRDefault="00B4706C" w:rsidP="00B4706C">
      <w:pPr>
        <w:tabs>
          <w:tab w:val="left" w:pos="8312"/>
        </w:tabs>
        <w:spacing w:line="276" w:lineRule="auto"/>
        <w:jc w:val="both"/>
        <w:rPr>
          <w:b/>
          <w:bCs/>
          <w:sz w:val="22"/>
          <w:szCs w:val="22"/>
          <w:u w:val="single"/>
          <w:rtl/>
        </w:rPr>
      </w:pPr>
      <w:r w:rsidRPr="007621EB">
        <w:rPr>
          <w:rFonts w:hint="cs"/>
          <w:b/>
          <w:bCs/>
          <w:sz w:val="22"/>
          <w:szCs w:val="22"/>
          <w:u w:val="single"/>
          <w:rtl/>
        </w:rPr>
        <w:t>כללי</w:t>
      </w:r>
    </w:p>
    <w:p w14:paraId="56C16139" w14:textId="6A8DC431" w:rsidR="00B4706C" w:rsidRPr="007621EB" w:rsidRDefault="00B4706C" w:rsidP="00B84FD4">
      <w:pPr>
        <w:tabs>
          <w:tab w:val="left" w:pos="8312"/>
        </w:tabs>
        <w:spacing w:line="360" w:lineRule="auto"/>
        <w:jc w:val="both"/>
        <w:rPr>
          <w:szCs w:val="24"/>
          <w:rtl/>
        </w:rPr>
      </w:pPr>
      <w:r w:rsidRPr="007621EB">
        <w:rPr>
          <w:rFonts w:hint="cs"/>
          <w:szCs w:val="24"/>
          <w:rtl/>
        </w:rPr>
        <w:t>תקופת ההתקשרות בין המשרד לבין הספק תהיה ל-12 חודשים ממועד כניסתו לתוקף של ההסכם, עם אופציה להארכה ל-</w:t>
      </w:r>
      <w:r w:rsidR="00B84FD4" w:rsidRPr="007621EB">
        <w:rPr>
          <w:rFonts w:hint="cs"/>
          <w:szCs w:val="24"/>
          <w:rtl/>
        </w:rPr>
        <w:t>3</w:t>
      </w:r>
      <w:r w:rsidRPr="007621EB">
        <w:rPr>
          <w:rFonts w:hint="cs"/>
          <w:szCs w:val="24"/>
          <w:rtl/>
        </w:rPr>
        <w:t xml:space="preserve"> תקופות נוספות בנות 12 חודשים כל אחת. למשרד בלבד שמורה הזכות להאריך או להרחיב את ההתקשות לתקופות נוספות. </w:t>
      </w:r>
      <w:r w:rsidRPr="007621EB">
        <w:rPr>
          <w:rFonts w:hint="eastAsia"/>
          <w:szCs w:val="24"/>
          <w:rtl/>
        </w:rPr>
        <w:t>כמו</w:t>
      </w:r>
      <w:r w:rsidRPr="007621EB">
        <w:rPr>
          <w:szCs w:val="24"/>
          <w:rtl/>
        </w:rPr>
        <w:t xml:space="preserve"> </w:t>
      </w:r>
      <w:r w:rsidRPr="007621EB">
        <w:rPr>
          <w:rFonts w:hint="eastAsia"/>
          <w:szCs w:val="24"/>
          <w:rtl/>
        </w:rPr>
        <w:t>כן</w:t>
      </w:r>
      <w:r w:rsidRPr="007621EB">
        <w:rPr>
          <w:szCs w:val="24"/>
          <w:rtl/>
        </w:rPr>
        <w:t xml:space="preserve">, </w:t>
      </w:r>
      <w:r w:rsidRPr="007621EB">
        <w:rPr>
          <w:rFonts w:hint="eastAsia"/>
          <w:szCs w:val="24"/>
          <w:rtl/>
        </w:rPr>
        <w:t>למשרד</w:t>
      </w:r>
      <w:r w:rsidRPr="007621EB">
        <w:rPr>
          <w:szCs w:val="24"/>
          <w:rtl/>
        </w:rPr>
        <w:t xml:space="preserve"> </w:t>
      </w:r>
      <w:r w:rsidRPr="007621EB">
        <w:rPr>
          <w:rFonts w:hint="eastAsia"/>
          <w:szCs w:val="24"/>
          <w:rtl/>
        </w:rPr>
        <w:t>תהא</w:t>
      </w:r>
      <w:r w:rsidRPr="007621EB">
        <w:rPr>
          <w:szCs w:val="24"/>
          <w:rtl/>
        </w:rPr>
        <w:t xml:space="preserve"> </w:t>
      </w:r>
      <w:r w:rsidRPr="007621EB">
        <w:rPr>
          <w:rFonts w:hint="eastAsia"/>
          <w:szCs w:val="24"/>
          <w:rtl/>
        </w:rPr>
        <w:t>הזכות</w:t>
      </w:r>
      <w:r w:rsidRPr="007621EB">
        <w:rPr>
          <w:szCs w:val="24"/>
          <w:rtl/>
        </w:rPr>
        <w:t xml:space="preserve"> </w:t>
      </w:r>
      <w:r w:rsidRPr="007621EB">
        <w:rPr>
          <w:rFonts w:hint="eastAsia"/>
          <w:szCs w:val="24"/>
          <w:rtl/>
        </w:rPr>
        <w:t>לדרוש</w:t>
      </w:r>
      <w:r w:rsidRPr="007621EB">
        <w:rPr>
          <w:szCs w:val="24"/>
          <w:rtl/>
        </w:rPr>
        <w:t xml:space="preserve"> </w:t>
      </w:r>
      <w:r w:rsidRPr="007621EB">
        <w:rPr>
          <w:rFonts w:hint="eastAsia"/>
          <w:szCs w:val="24"/>
          <w:rtl/>
        </w:rPr>
        <w:t>שינויים</w:t>
      </w:r>
      <w:r w:rsidRPr="007621EB">
        <w:rPr>
          <w:szCs w:val="24"/>
          <w:rtl/>
        </w:rPr>
        <w:t xml:space="preserve"> </w:t>
      </w:r>
      <w:r w:rsidRPr="007621EB">
        <w:rPr>
          <w:rFonts w:hint="eastAsia"/>
          <w:szCs w:val="24"/>
          <w:rtl/>
        </w:rPr>
        <w:t>בתוכנית</w:t>
      </w:r>
      <w:r w:rsidRPr="007621EB">
        <w:rPr>
          <w:szCs w:val="24"/>
          <w:rtl/>
        </w:rPr>
        <w:t xml:space="preserve">, </w:t>
      </w:r>
      <w:r w:rsidRPr="007621EB">
        <w:rPr>
          <w:rFonts w:hint="eastAsia"/>
          <w:szCs w:val="24"/>
          <w:rtl/>
        </w:rPr>
        <w:t>בתקציב</w:t>
      </w:r>
      <w:r w:rsidRPr="007621EB">
        <w:rPr>
          <w:szCs w:val="24"/>
          <w:rtl/>
        </w:rPr>
        <w:t xml:space="preserve"> </w:t>
      </w:r>
      <w:r w:rsidRPr="007621EB">
        <w:rPr>
          <w:rFonts w:hint="eastAsia"/>
          <w:szCs w:val="24"/>
          <w:rtl/>
        </w:rPr>
        <w:t>ובמשך</w:t>
      </w:r>
      <w:r w:rsidRPr="007621EB">
        <w:rPr>
          <w:szCs w:val="24"/>
          <w:rtl/>
        </w:rPr>
        <w:t xml:space="preserve"> </w:t>
      </w:r>
      <w:r w:rsidRPr="007621EB">
        <w:rPr>
          <w:rFonts w:hint="eastAsia"/>
          <w:szCs w:val="24"/>
          <w:rtl/>
        </w:rPr>
        <w:t>הזמן</w:t>
      </w:r>
      <w:r w:rsidRPr="007621EB">
        <w:rPr>
          <w:szCs w:val="24"/>
          <w:rtl/>
        </w:rPr>
        <w:t xml:space="preserve"> </w:t>
      </w:r>
      <w:r w:rsidRPr="007621EB">
        <w:rPr>
          <w:rFonts w:hint="eastAsia"/>
          <w:szCs w:val="24"/>
          <w:rtl/>
        </w:rPr>
        <w:t>הדרוש</w:t>
      </w:r>
      <w:r w:rsidRPr="007621EB">
        <w:rPr>
          <w:szCs w:val="24"/>
          <w:rtl/>
        </w:rPr>
        <w:t xml:space="preserve"> </w:t>
      </w:r>
      <w:r w:rsidRPr="007621EB">
        <w:rPr>
          <w:rFonts w:hint="eastAsia"/>
          <w:szCs w:val="24"/>
          <w:rtl/>
        </w:rPr>
        <w:t>לביצועה</w:t>
      </w:r>
      <w:r w:rsidRPr="007621EB">
        <w:rPr>
          <w:szCs w:val="24"/>
          <w:rtl/>
        </w:rPr>
        <w:t xml:space="preserve"> </w:t>
      </w:r>
      <w:r w:rsidRPr="007621EB">
        <w:rPr>
          <w:rFonts w:hint="eastAsia"/>
          <w:szCs w:val="24"/>
          <w:rtl/>
        </w:rPr>
        <w:t>כתנאי</w:t>
      </w:r>
      <w:r w:rsidRPr="007621EB">
        <w:rPr>
          <w:szCs w:val="24"/>
          <w:rtl/>
        </w:rPr>
        <w:t xml:space="preserve"> </w:t>
      </w:r>
      <w:r w:rsidRPr="007621EB">
        <w:rPr>
          <w:rFonts w:hint="eastAsia"/>
          <w:szCs w:val="24"/>
          <w:rtl/>
        </w:rPr>
        <w:t>לאישורה</w:t>
      </w:r>
      <w:r w:rsidRPr="007621EB">
        <w:rPr>
          <w:szCs w:val="24"/>
          <w:rtl/>
        </w:rPr>
        <w:t>.</w:t>
      </w:r>
    </w:p>
    <w:p w14:paraId="53BBB69A" w14:textId="77777777" w:rsidR="00B4706C" w:rsidRPr="007621EB" w:rsidRDefault="00B4706C" w:rsidP="00B4706C">
      <w:pPr>
        <w:spacing w:line="360" w:lineRule="auto"/>
        <w:contextualSpacing/>
        <w:jc w:val="both"/>
        <w:rPr>
          <w:sz w:val="22"/>
          <w:szCs w:val="22"/>
          <w:rtl/>
        </w:rPr>
      </w:pPr>
    </w:p>
    <w:p w14:paraId="63590530" w14:textId="52E1744B" w:rsidR="00B4706C" w:rsidRDefault="00B4706C" w:rsidP="00B4706C">
      <w:pPr>
        <w:spacing w:line="360" w:lineRule="auto"/>
        <w:contextualSpacing/>
        <w:jc w:val="both"/>
        <w:rPr>
          <w:szCs w:val="24"/>
          <w:rtl/>
        </w:rPr>
      </w:pPr>
      <w:r w:rsidRPr="007621EB">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האנרגיה והמים שכתובתו </w:t>
      </w:r>
      <w:hyperlink r:id="rId12" w:history="1">
        <w:r w:rsidRPr="007621EB">
          <w:rPr>
            <w:rStyle w:val="Hyperlink"/>
            <w:color w:val="auto"/>
            <w:szCs w:val="24"/>
          </w:rPr>
          <w:t>www.energy.gov.il</w:t>
        </w:r>
      </w:hyperlink>
      <w:r w:rsidRPr="007621EB">
        <w:rPr>
          <w:szCs w:val="24"/>
        </w:rPr>
        <w:t xml:space="preserve"> </w:t>
      </w:r>
      <w:r w:rsidRPr="007621EB">
        <w:rPr>
          <w:rFonts w:hint="cs"/>
          <w:szCs w:val="24"/>
          <w:rtl/>
        </w:rPr>
        <w:t>.</w:t>
      </w:r>
    </w:p>
    <w:p w14:paraId="73A81FB4" w14:textId="77777777" w:rsidR="007621EB" w:rsidRDefault="007621EB" w:rsidP="00B4706C">
      <w:pPr>
        <w:spacing w:line="360" w:lineRule="auto"/>
        <w:contextualSpacing/>
        <w:jc w:val="both"/>
        <w:rPr>
          <w:szCs w:val="24"/>
          <w:rtl/>
        </w:rPr>
      </w:pPr>
    </w:p>
    <w:p w14:paraId="372CF436" w14:textId="49D62D5E" w:rsidR="007621EB" w:rsidRDefault="007621EB" w:rsidP="00A07FA5">
      <w:pPr>
        <w:spacing w:after="120" w:line="276" w:lineRule="auto"/>
        <w:jc w:val="both"/>
        <w:rPr>
          <w:szCs w:val="24"/>
          <w:rtl/>
        </w:rPr>
      </w:pPr>
      <w:r w:rsidRPr="00FD6C2A">
        <w:rPr>
          <w:rFonts w:hint="eastAsia"/>
          <w:b/>
          <w:bCs/>
          <w:szCs w:val="24"/>
          <w:u w:val="single"/>
          <w:rtl/>
        </w:rPr>
        <w:t>כנס</w:t>
      </w:r>
      <w:r w:rsidRPr="00FD6C2A">
        <w:rPr>
          <w:b/>
          <w:bCs/>
          <w:szCs w:val="24"/>
          <w:u w:val="single"/>
          <w:rtl/>
        </w:rPr>
        <w:t xml:space="preserve"> </w:t>
      </w:r>
      <w:r w:rsidRPr="00FD6C2A">
        <w:rPr>
          <w:rFonts w:hint="eastAsia"/>
          <w:b/>
          <w:bCs/>
          <w:szCs w:val="24"/>
          <w:u w:val="single"/>
          <w:rtl/>
        </w:rPr>
        <w:t>מציעים</w:t>
      </w:r>
      <w:r w:rsidRPr="00FD6C2A">
        <w:rPr>
          <w:szCs w:val="24"/>
          <w:rtl/>
        </w:rPr>
        <w:t xml:space="preserve">: </w:t>
      </w:r>
      <w:r w:rsidRPr="00FD6C2A">
        <w:rPr>
          <w:rFonts w:hint="eastAsia"/>
          <w:szCs w:val="24"/>
          <w:rtl/>
        </w:rPr>
        <w:t>יערך</w:t>
      </w:r>
      <w:r w:rsidRPr="00FD6C2A">
        <w:rPr>
          <w:szCs w:val="24"/>
          <w:rtl/>
        </w:rPr>
        <w:t xml:space="preserve"> </w:t>
      </w:r>
      <w:r>
        <w:rPr>
          <w:rFonts w:hint="cs"/>
          <w:szCs w:val="24"/>
          <w:rtl/>
        </w:rPr>
        <w:t xml:space="preserve">ביום </w:t>
      </w:r>
      <w:r w:rsidR="00A07FA5">
        <w:rPr>
          <w:rFonts w:hint="cs"/>
          <w:b/>
          <w:bCs/>
          <w:szCs w:val="24"/>
          <w:u w:val="single"/>
          <w:rtl/>
        </w:rPr>
        <w:t>13.7.14</w:t>
      </w:r>
      <w:r w:rsidRPr="00FD6C2A">
        <w:rPr>
          <w:szCs w:val="24"/>
          <w:rtl/>
        </w:rPr>
        <w:t xml:space="preserve">בשעה </w:t>
      </w:r>
      <w:r>
        <w:rPr>
          <w:rFonts w:hint="cs"/>
          <w:b/>
          <w:bCs/>
          <w:szCs w:val="24"/>
          <w:u w:val="single"/>
          <w:rtl/>
        </w:rPr>
        <w:t>10</w:t>
      </w:r>
      <w:r w:rsidRPr="006E39BD">
        <w:rPr>
          <w:rFonts w:hint="cs"/>
          <w:b/>
          <w:bCs/>
          <w:szCs w:val="24"/>
          <w:u w:val="single"/>
          <w:rtl/>
        </w:rPr>
        <w:t>:00</w:t>
      </w:r>
      <w:r w:rsidRPr="00FD6C2A">
        <w:rPr>
          <w:rFonts w:hint="cs"/>
          <w:szCs w:val="24"/>
          <w:rtl/>
        </w:rPr>
        <w:t xml:space="preserve"> </w:t>
      </w:r>
      <w:r w:rsidRPr="00FD6C2A">
        <w:rPr>
          <w:szCs w:val="24"/>
          <w:rtl/>
        </w:rPr>
        <w:t xml:space="preserve">בבניין שערי העיר, </w:t>
      </w:r>
      <w:r w:rsidRPr="00FD6C2A">
        <w:rPr>
          <w:rFonts w:hint="eastAsia"/>
          <w:szCs w:val="24"/>
          <w:rtl/>
        </w:rPr>
        <w:t>רח</w:t>
      </w:r>
      <w:r w:rsidRPr="00FD6C2A">
        <w:rPr>
          <w:szCs w:val="24"/>
          <w:rtl/>
        </w:rPr>
        <w:t xml:space="preserve">' </w:t>
      </w:r>
      <w:r w:rsidRPr="00FD6C2A">
        <w:rPr>
          <w:rFonts w:hint="eastAsia"/>
          <w:szCs w:val="24"/>
          <w:rtl/>
        </w:rPr>
        <w:t>יפו</w:t>
      </w:r>
      <w:r w:rsidRPr="00FD6C2A">
        <w:rPr>
          <w:szCs w:val="24"/>
          <w:rtl/>
        </w:rPr>
        <w:t xml:space="preserve"> 216 </w:t>
      </w:r>
      <w:r w:rsidRPr="00FD6C2A">
        <w:rPr>
          <w:rFonts w:hint="eastAsia"/>
          <w:szCs w:val="24"/>
          <w:rtl/>
        </w:rPr>
        <w:t>ירושלים</w:t>
      </w:r>
      <w:r w:rsidRPr="00FD6C2A">
        <w:rPr>
          <w:szCs w:val="24"/>
          <w:rtl/>
        </w:rPr>
        <w:t xml:space="preserve">, </w:t>
      </w:r>
      <w:r w:rsidRPr="00FD6C2A">
        <w:rPr>
          <w:rFonts w:hint="eastAsia"/>
          <w:szCs w:val="24"/>
          <w:rtl/>
        </w:rPr>
        <w:t>קומה</w:t>
      </w:r>
      <w:r w:rsidRPr="00FD6C2A">
        <w:rPr>
          <w:szCs w:val="24"/>
          <w:rtl/>
        </w:rPr>
        <w:t xml:space="preserve"> 7 </w:t>
      </w:r>
      <w:r w:rsidRPr="00FD6C2A">
        <w:rPr>
          <w:rFonts w:hint="eastAsia"/>
          <w:szCs w:val="24"/>
          <w:rtl/>
        </w:rPr>
        <w:t>בחדר</w:t>
      </w:r>
      <w:r w:rsidRPr="00FD6C2A">
        <w:rPr>
          <w:szCs w:val="24"/>
          <w:rtl/>
        </w:rPr>
        <w:t xml:space="preserve"> </w:t>
      </w:r>
      <w:r w:rsidRPr="00FD6C2A">
        <w:rPr>
          <w:rFonts w:hint="eastAsia"/>
          <w:szCs w:val="24"/>
          <w:rtl/>
        </w:rPr>
        <w:t>ישיבות</w:t>
      </w:r>
      <w:r w:rsidRPr="00FD6C2A">
        <w:rPr>
          <w:szCs w:val="24"/>
          <w:rtl/>
        </w:rPr>
        <w:t xml:space="preserve">. </w:t>
      </w:r>
      <w:r w:rsidRPr="00FD6C2A">
        <w:rPr>
          <w:rFonts w:hint="eastAsia"/>
          <w:szCs w:val="24"/>
          <w:rtl/>
        </w:rPr>
        <w:t>ההשתתפות</w:t>
      </w:r>
      <w:r w:rsidRPr="00FD6C2A">
        <w:rPr>
          <w:szCs w:val="24"/>
          <w:rtl/>
        </w:rPr>
        <w:t xml:space="preserve"> בכנס אינה חובה. </w:t>
      </w:r>
      <w:r w:rsidRPr="00FD6C2A">
        <w:rPr>
          <w:rFonts w:hint="cs"/>
          <w:szCs w:val="24"/>
          <w:rtl/>
        </w:rPr>
        <w:t xml:space="preserve"> </w:t>
      </w:r>
    </w:p>
    <w:p w14:paraId="41B4909F" w14:textId="77777777" w:rsidR="007621EB" w:rsidRDefault="007621EB" w:rsidP="007621EB">
      <w:pPr>
        <w:spacing w:after="120" w:line="276" w:lineRule="auto"/>
        <w:jc w:val="both"/>
        <w:rPr>
          <w:szCs w:val="24"/>
          <w:rtl/>
        </w:rPr>
      </w:pPr>
    </w:p>
    <w:p w14:paraId="6434CC4F" w14:textId="2A9C31FB" w:rsidR="00B4706C" w:rsidRPr="007621EB" w:rsidRDefault="00B4706C" w:rsidP="00A07FA5">
      <w:pPr>
        <w:spacing w:line="360" w:lineRule="auto"/>
        <w:jc w:val="both"/>
        <w:rPr>
          <w:b/>
          <w:bCs/>
          <w:szCs w:val="24"/>
          <w:u w:val="single"/>
          <w:rtl/>
        </w:rPr>
      </w:pPr>
      <w:r w:rsidRPr="007621EB">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A07FA5">
        <w:rPr>
          <w:rFonts w:hint="cs"/>
          <w:b/>
          <w:bCs/>
          <w:szCs w:val="24"/>
          <w:u w:val="single"/>
          <w:rtl/>
        </w:rPr>
        <w:t xml:space="preserve">24.8.14 </w:t>
      </w:r>
      <w:r w:rsidRPr="007621EB">
        <w:rPr>
          <w:rFonts w:hint="cs"/>
          <w:b/>
          <w:bCs/>
          <w:szCs w:val="24"/>
          <w:u w:val="single"/>
          <w:rtl/>
        </w:rPr>
        <w:t>בשעה 14:00.</w:t>
      </w:r>
    </w:p>
    <w:p w14:paraId="588EECAE" w14:textId="77777777" w:rsidR="00B4706C" w:rsidRPr="007621EB" w:rsidRDefault="00B4706C" w:rsidP="00B4706C">
      <w:pPr>
        <w:spacing w:line="360" w:lineRule="auto"/>
        <w:ind w:left="-1"/>
        <w:jc w:val="both"/>
        <w:rPr>
          <w:szCs w:val="24"/>
          <w:rtl/>
        </w:rPr>
      </w:pPr>
      <w:r w:rsidRPr="007621EB">
        <w:rPr>
          <w:rFonts w:hint="cs"/>
          <w:szCs w:val="24"/>
          <w:rtl/>
        </w:rPr>
        <w:t>אם המציע מחליט לשלוח את המעטפה באמצעות שליח (לרבות חברת דואר ישראל), עליו להכניסה לתוך מעטפה שניי</w:t>
      </w:r>
      <w:r w:rsidRPr="007621EB">
        <w:rPr>
          <w:rFonts w:hint="eastAsia"/>
          <w:szCs w:val="24"/>
          <w:rtl/>
        </w:rPr>
        <w:t>ה</w:t>
      </w:r>
      <w:r w:rsidRPr="007621EB">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E1AC452" w14:textId="77777777" w:rsidR="00B4706C" w:rsidRPr="007621EB" w:rsidRDefault="00B4706C" w:rsidP="00B4706C">
      <w:pPr>
        <w:spacing w:line="360" w:lineRule="auto"/>
        <w:jc w:val="both"/>
        <w:rPr>
          <w:szCs w:val="24"/>
        </w:rPr>
      </w:pPr>
    </w:p>
    <w:p w14:paraId="63EA7A51" w14:textId="77777777" w:rsidR="00B4706C" w:rsidRPr="007621EB" w:rsidRDefault="00B4706C" w:rsidP="00B4706C">
      <w:pPr>
        <w:spacing w:line="360" w:lineRule="auto"/>
        <w:jc w:val="both"/>
        <w:rPr>
          <w:szCs w:val="24"/>
        </w:rPr>
      </w:pPr>
      <w:r w:rsidRPr="007621EB">
        <w:rPr>
          <w:rFonts w:hint="cs"/>
          <w:b/>
          <w:bCs/>
          <w:szCs w:val="24"/>
          <w:rtl/>
        </w:rPr>
        <w:t>בכל מקרה של סתירה בין האמור בהודעה זו לאמור במסמכי המכרז יגבר האמור במסמכי המכרז.</w:t>
      </w:r>
    </w:p>
    <w:p w14:paraId="43037A67" w14:textId="77777777" w:rsidR="00B4706C" w:rsidRPr="007621EB" w:rsidRDefault="00B4706C" w:rsidP="00B4706C">
      <w:pPr>
        <w:spacing w:line="360" w:lineRule="auto"/>
        <w:jc w:val="both"/>
        <w:rPr>
          <w:szCs w:val="24"/>
          <w:rtl/>
        </w:rPr>
      </w:pPr>
      <w:r w:rsidRPr="007621EB">
        <w:rPr>
          <w:rFonts w:hint="cs"/>
          <w:b/>
          <w:bCs/>
          <w:szCs w:val="24"/>
          <w:u w:val="single"/>
          <w:rtl/>
        </w:rPr>
        <w:t>שאלות והבהרות</w:t>
      </w:r>
    </w:p>
    <w:p w14:paraId="777B9B67" w14:textId="4E24489E" w:rsidR="00B4706C" w:rsidRPr="007621EB" w:rsidRDefault="00B4706C" w:rsidP="00A07FA5">
      <w:pPr>
        <w:tabs>
          <w:tab w:val="left" w:pos="8617"/>
        </w:tabs>
        <w:spacing w:line="360" w:lineRule="auto"/>
        <w:ind w:left="-1"/>
        <w:jc w:val="both"/>
        <w:rPr>
          <w:szCs w:val="24"/>
          <w:rtl/>
        </w:rPr>
      </w:pPr>
      <w:r w:rsidRPr="007621EB">
        <w:rPr>
          <w:rFonts w:hint="cs"/>
          <w:szCs w:val="24"/>
          <w:rtl/>
        </w:rPr>
        <w:t xml:space="preserve">המועד האחרון להפניה של שאלות והבהרות הינו </w:t>
      </w:r>
      <w:r w:rsidR="00A07FA5">
        <w:rPr>
          <w:rFonts w:hint="cs"/>
          <w:b/>
          <w:bCs/>
          <w:szCs w:val="24"/>
          <w:u w:val="single"/>
          <w:rtl/>
        </w:rPr>
        <w:t>27</w:t>
      </w:r>
      <w:r w:rsidR="007621EB" w:rsidRPr="007621EB">
        <w:rPr>
          <w:rFonts w:hint="cs"/>
          <w:b/>
          <w:bCs/>
          <w:szCs w:val="24"/>
          <w:u w:val="single"/>
          <w:rtl/>
        </w:rPr>
        <w:t xml:space="preserve">.7.14 </w:t>
      </w:r>
      <w:r w:rsidRPr="007621EB">
        <w:rPr>
          <w:rFonts w:hint="cs"/>
          <w:b/>
          <w:bCs/>
          <w:szCs w:val="24"/>
          <w:u w:val="single"/>
          <w:rtl/>
        </w:rPr>
        <w:t>בשעה 14:00</w:t>
      </w:r>
      <w:r w:rsidRPr="007621EB">
        <w:rPr>
          <w:rFonts w:hint="cs"/>
          <w:szCs w:val="24"/>
          <w:rtl/>
        </w:rPr>
        <w:t xml:space="preserve"> לגב' אילנה טמסוט בדואר אלקטרוני שכתובתו:</w:t>
      </w:r>
      <w:hyperlink r:id="rId13" w:history="1">
        <w:r w:rsidRPr="007621EB">
          <w:rPr>
            <w:rStyle w:val="Hyperlink"/>
            <w:color w:val="auto"/>
            <w:szCs w:val="24"/>
          </w:rPr>
          <w:t>itamsut@energy.gov.il</w:t>
        </w:r>
      </w:hyperlink>
      <w:r w:rsidRPr="007621EB">
        <w:rPr>
          <w:szCs w:val="24"/>
        </w:rPr>
        <w:t xml:space="preserve"> </w:t>
      </w:r>
      <w:r w:rsidRPr="007621EB">
        <w:rPr>
          <w:rFonts w:hint="cs"/>
          <w:szCs w:val="24"/>
          <w:rtl/>
        </w:rPr>
        <w:t xml:space="preserve">, מסמך </w:t>
      </w:r>
      <w:r w:rsidRPr="007621EB">
        <w:rPr>
          <w:rFonts w:hint="cs"/>
          <w:szCs w:val="24"/>
        </w:rPr>
        <w:t>WORD</w:t>
      </w:r>
      <w:r w:rsidRPr="007621EB">
        <w:rPr>
          <w:rFonts w:hint="cs"/>
          <w:szCs w:val="24"/>
          <w:rtl/>
        </w:rPr>
        <w:t xml:space="preserve"> בלבד, המשרד לא ישיב שאלות שיגיעו לאחר מועד אחרון זה.</w:t>
      </w:r>
    </w:p>
    <w:p w14:paraId="5C05C463" w14:textId="40C714C9" w:rsidR="00B4706C" w:rsidRPr="007621EB" w:rsidRDefault="00B4706C" w:rsidP="00A07FA5">
      <w:pPr>
        <w:tabs>
          <w:tab w:val="left" w:pos="9355"/>
        </w:tabs>
        <w:spacing w:line="360" w:lineRule="auto"/>
        <w:ind w:left="-1"/>
        <w:jc w:val="both"/>
        <w:rPr>
          <w:szCs w:val="24"/>
          <w:rtl/>
        </w:rPr>
      </w:pPr>
      <w:r w:rsidRPr="007621EB">
        <w:rPr>
          <w:rFonts w:hint="cs"/>
          <w:szCs w:val="24"/>
          <w:rtl/>
        </w:rPr>
        <w:t xml:space="preserve">ריכוז השאלות והתשובות יפורסמו באתר הרכש הממשלתי ובאתר האינטרנט של המשרד החל מיום </w:t>
      </w:r>
      <w:r w:rsidR="00A07FA5">
        <w:rPr>
          <w:rFonts w:hint="cs"/>
          <w:b/>
          <w:bCs/>
          <w:szCs w:val="24"/>
          <w:u w:val="single"/>
          <w:rtl/>
        </w:rPr>
        <w:t>10</w:t>
      </w:r>
      <w:r w:rsidR="007621EB" w:rsidRPr="007621EB">
        <w:rPr>
          <w:rFonts w:hint="cs"/>
          <w:b/>
          <w:bCs/>
          <w:szCs w:val="24"/>
          <w:u w:val="single"/>
          <w:rtl/>
        </w:rPr>
        <w:t>.8.14</w:t>
      </w:r>
      <w:r w:rsidR="00301D1F" w:rsidRPr="007621EB">
        <w:rPr>
          <w:rFonts w:hint="cs"/>
          <w:b/>
          <w:bCs/>
          <w:szCs w:val="24"/>
          <w:u w:val="single"/>
          <w:rtl/>
        </w:rPr>
        <w:t xml:space="preserve"> </w:t>
      </w:r>
      <w:r w:rsidRPr="007621EB">
        <w:rPr>
          <w:rFonts w:hint="cs"/>
          <w:szCs w:val="24"/>
          <w:rtl/>
        </w:rPr>
        <w:t>והן יהוו חלק בלתי נפרד ממסמכי המכרז ויחייבו את כל המציעים.</w:t>
      </w:r>
    </w:p>
    <w:p w14:paraId="644C0179" w14:textId="77777777" w:rsidR="00B4706C" w:rsidRPr="007621EB" w:rsidRDefault="00B4706C" w:rsidP="00B4706C">
      <w:pPr>
        <w:tabs>
          <w:tab w:val="left" w:pos="9355"/>
        </w:tabs>
        <w:spacing w:line="360" w:lineRule="auto"/>
        <w:jc w:val="both"/>
        <w:rPr>
          <w:szCs w:val="24"/>
          <w:rtl/>
        </w:rPr>
      </w:pPr>
      <w:r w:rsidRPr="007621EB">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61E1D812" w14:textId="77777777" w:rsidR="005A6970" w:rsidRPr="007621EB" w:rsidRDefault="005A6970" w:rsidP="005A6970">
      <w:pPr>
        <w:jc w:val="both"/>
        <w:rPr>
          <w:szCs w:val="24"/>
          <w:rtl/>
        </w:rPr>
      </w:pPr>
    </w:p>
    <w:p w14:paraId="302B0A26" w14:textId="77777777" w:rsidR="005A6970" w:rsidRPr="007621EB" w:rsidRDefault="005A6970" w:rsidP="005A6970">
      <w:pPr>
        <w:tabs>
          <w:tab w:val="left" w:pos="6469"/>
          <w:tab w:val="center" w:pos="7178"/>
        </w:tabs>
        <w:jc w:val="both"/>
        <w:rPr>
          <w:szCs w:val="24"/>
          <w:rtl/>
        </w:rPr>
      </w:pPr>
      <w:r w:rsidRPr="007621EB">
        <w:rPr>
          <w:rFonts w:hint="cs"/>
          <w:szCs w:val="24"/>
          <w:rtl/>
        </w:rPr>
        <w:tab/>
      </w:r>
      <w:r w:rsidRPr="007621EB">
        <w:rPr>
          <w:szCs w:val="24"/>
          <w:rtl/>
        </w:rPr>
        <w:t>בברכה,</w:t>
      </w:r>
    </w:p>
    <w:p w14:paraId="1E3B80DA" w14:textId="789DBD52" w:rsidR="005A6970" w:rsidRPr="007621EB" w:rsidRDefault="005A6970" w:rsidP="00C53E6C">
      <w:pPr>
        <w:tabs>
          <w:tab w:val="left" w:pos="6044"/>
          <w:tab w:val="left" w:pos="6469"/>
          <w:tab w:val="left" w:pos="6894"/>
          <w:tab w:val="center" w:pos="8078"/>
        </w:tabs>
        <w:jc w:val="both"/>
        <w:rPr>
          <w:b/>
          <w:bCs/>
          <w:szCs w:val="24"/>
        </w:rPr>
      </w:pPr>
      <w:r w:rsidRPr="007621EB">
        <w:rPr>
          <w:szCs w:val="24"/>
          <w:rtl/>
        </w:rPr>
        <w:tab/>
      </w:r>
      <w:r w:rsidRPr="007621EB">
        <w:rPr>
          <w:rFonts w:hint="cs"/>
          <w:szCs w:val="24"/>
          <w:rtl/>
        </w:rPr>
        <w:t xml:space="preserve">  </w:t>
      </w:r>
      <w:r w:rsidRPr="007621EB">
        <w:rPr>
          <w:szCs w:val="24"/>
          <w:rtl/>
        </w:rPr>
        <w:t>ועדת המכרזים</w:t>
      </w:r>
    </w:p>
    <w:sectPr w:rsidR="005A6970" w:rsidRPr="007621EB" w:rsidSect="00B520F7">
      <w:headerReference w:type="even" r:id="rId14"/>
      <w:headerReference w:type="default" r:id="rId15"/>
      <w:footerReference w:type="default" r:id="rId16"/>
      <w:headerReference w:type="first" r:id="rId17"/>
      <w:footerReference w:type="first" r:id="rId18"/>
      <w:pgSz w:w="11906" w:h="16838"/>
      <w:pgMar w:top="1440" w:right="1133" w:bottom="1440" w:left="1418"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009FD3" w14:textId="77777777" w:rsidR="00987159" w:rsidRDefault="00987159">
      <w:r>
        <w:separator/>
      </w:r>
    </w:p>
  </w:endnote>
  <w:endnote w:type="continuationSeparator" w:id="0">
    <w:p w14:paraId="1C009FD4" w14:textId="77777777" w:rsidR="00987159" w:rsidRDefault="009871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8" w14:textId="77777777" w:rsidR="00987159" w:rsidRDefault="00987159" w:rsidP="00712673">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9" w14:textId="77777777" w:rsidR="00987159" w:rsidRPr="00581672" w:rsidRDefault="00987159"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C" w14:textId="77777777" w:rsidR="00987159" w:rsidRDefault="00987159" w:rsidP="00524880">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D" w14:textId="77777777" w:rsidR="00987159" w:rsidRPr="00FC5DE0" w:rsidRDefault="00987159"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009FD1" w14:textId="77777777" w:rsidR="00987159" w:rsidRDefault="00987159">
      <w:r>
        <w:separator/>
      </w:r>
    </w:p>
  </w:footnote>
  <w:footnote w:type="continuationSeparator" w:id="0">
    <w:p w14:paraId="1C009FD2" w14:textId="77777777" w:rsidR="00987159" w:rsidRDefault="009871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5" w14:textId="77777777" w:rsidR="00987159" w:rsidRDefault="00987159">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6" w14:textId="77777777" w:rsidR="00987159" w:rsidRPr="00D3749A" w:rsidRDefault="00987159"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7621EB" w:rsidRPr="007621EB">
          <w:rPr>
            <w:rFonts w:cs="Calibri"/>
            <w:b/>
            <w:bCs/>
            <w:noProof/>
            <w:rtl/>
            <w:lang w:val="he-IL"/>
          </w:rPr>
          <w:t>2</w:t>
        </w:r>
        <w:r w:rsidRPr="00D3749A">
          <w:rPr>
            <w:b/>
            <w:bCs/>
          </w:rPr>
          <w:fldChar w:fldCharType="end"/>
        </w:r>
        <w:r w:rsidRPr="00D3749A">
          <w:rPr>
            <w:rFonts w:hint="cs"/>
            <w:b/>
            <w:bCs/>
            <w:rtl/>
          </w:rPr>
          <w:t xml:space="preserve"> -</w:t>
        </w:r>
      </w:sdtContent>
    </w:sdt>
  </w:p>
  <w:p w14:paraId="1C009FD7" w14:textId="77777777" w:rsidR="00987159" w:rsidRPr="008B766D" w:rsidRDefault="00987159"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A" w14:textId="77777777" w:rsidR="00987159" w:rsidRDefault="00987159" w:rsidP="00EA4FBF">
    <w:pPr>
      <w:pStyle w:val="a6"/>
      <w:spacing w:line="276" w:lineRule="auto"/>
      <w:jc w:val="center"/>
      <w:rPr>
        <w:b/>
        <w:bCs/>
        <w:szCs w:val="40"/>
        <w:rtl/>
      </w:rPr>
    </w:pPr>
    <w:r>
      <w:rPr>
        <w:b/>
        <w:bCs/>
        <w:szCs w:val="40"/>
        <w:rtl/>
      </w:rPr>
      <w:t>מדינת ישראל</w:t>
    </w:r>
  </w:p>
  <w:p w14:paraId="1C009FDB" w14:textId="7E9FBD18" w:rsidR="00987159" w:rsidRPr="004D2FA1" w:rsidRDefault="00987159" w:rsidP="00EA4FBF">
    <w:pPr>
      <w:pStyle w:val="a6"/>
      <w:spacing w:line="276" w:lineRule="auto"/>
      <w:jc w:val="center"/>
      <w:rPr>
        <w:b/>
        <w:bCs/>
        <w:sz w:val="32"/>
        <w:szCs w:val="32"/>
        <w:rtl/>
      </w:rPr>
    </w:pPr>
    <w:r w:rsidRPr="004D2FA1">
      <w:rPr>
        <w:rFonts w:hint="cs"/>
        <w:b/>
        <w:bCs/>
        <w:sz w:val="32"/>
        <w:szCs w:val="32"/>
        <w:rtl/>
      </w:rPr>
      <w:t xml:space="preserve">משרד </w:t>
    </w:r>
    <w:r w:rsidR="00FB27AD">
      <w:rPr>
        <w:rFonts w:hint="cs"/>
        <w:b/>
        <w:bCs/>
        <w:sz w:val="32"/>
        <w:szCs w:val="32"/>
        <w:rtl/>
      </w:rPr>
      <w:t xml:space="preserve">התשתיות הלאומיות, </w:t>
    </w:r>
    <w:r w:rsidRPr="004D2FA1">
      <w:rPr>
        <w:rFonts w:hint="cs"/>
        <w:b/>
        <w:bCs/>
        <w:sz w:val="32"/>
        <w:szCs w:val="32"/>
        <w:rtl/>
      </w:rPr>
      <w:t>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45C0E7E"/>
    <w:multiLevelType w:val="hybridMultilevel"/>
    <w:tmpl w:val="9C329682"/>
    <w:lvl w:ilvl="0" w:tplc="D974E4CA">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2C2F5204"/>
    <w:multiLevelType w:val="hybridMultilevel"/>
    <w:tmpl w:val="9C329682"/>
    <w:lvl w:ilvl="0" w:tplc="D974E4CA">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12">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3">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5">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2">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9">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1">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2">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27"/>
  </w:num>
  <w:num w:numId="3">
    <w:abstractNumId w:val="10"/>
  </w:num>
  <w:num w:numId="4">
    <w:abstractNumId w:val="24"/>
  </w:num>
  <w:num w:numId="5">
    <w:abstractNumId w:val="14"/>
  </w:num>
  <w:num w:numId="6">
    <w:abstractNumId w:val="4"/>
  </w:num>
  <w:num w:numId="7">
    <w:abstractNumId w:val="13"/>
  </w:num>
  <w:num w:numId="8">
    <w:abstractNumId w:val="15"/>
  </w:num>
  <w:num w:numId="9">
    <w:abstractNumId w:val="31"/>
  </w:num>
  <w:num w:numId="10">
    <w:abstractNumId w:val="20"/>
  </w:num>
  <w:num w:numId="11">
    <w:abstractNumId w:val="1"/>
  </w:num>
  <w:num w:numId="12">
    <w:abstractNumId w:val="19"/>
  </w:num>
  <w:num w:numId="13">
    <w:abstractNumId w:val="29"/>
  </w:num>
  <w:num w:numId="14">
    <w:abstractNumId w:val="16"/>
  </w:num>
  <w:num w:numId="15">
    <w:abstractNumId w:val="6"/>
  </w:num>
  <w:num w:numId="16">
    <w:abstractNumId w:val="8"/>
  </w:num>
  <w:num w:numId="17">
    <w:abstractNumId w:val="22"/>
  </w:num>
  <w:num w:numId="18">
    <w:abstractNumId w:val="17"/>
  </w:num>
  <w:num w:numId="19">
    <w:abstractNumId w:val="33"/>
  </w:num>
  <w:num w:numId="20">
    <w:abstractNumId w:val="18"/>
  </w:num>
  <w:num w:numId="21">
    <w:abstractNumId w:val="3"/>
  </w:num>
  <w:num w:numId="22">
    <w:abstractNumId w:val="12"/>
  </w:num>
  <w:num w:numId="23">
    <w:abstractNumId w:val="21"/>
  </w:num>
  <w:num w:numId="24">
    <w:abstractNumId w:val="28"/>
  </w:num>
  <w:num w:numId="25">
    <w:abstractNumId w:val="26"/>
  </w:num>
  <w:num w:numId="26">
    <w:abstractNumId w:val="0"/>
  </w:num>
  <w:num w:numId="27">
    <w:abstractNumId w:val="23"/>
  </w:num>
  <w:num w:numId="28">
    <w:abstractNumId w:val="25"/>
  </w:num>
  <w:num w:numId="29">
    <w:abstractNumId w:val="30"/>
  </w:num>
  <w:num w:numId="30">
    <w:abstractNumId w:val="2"/>
  </w:num>
  <w:num w:numId="31">
    <w:abstractNumId w:val="32"/>
  </w:num>
  <w:num w:numId="32">
    <w:abstractNumId w:val="7"/>
  </w:num>
  <w:num w:numId="33">
    <w:abstractNumId w:val="5"/>
  </w:num>
  <w:num w:numId="34">
    <w:abstractNumId w:val="1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259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0F1011"/>
    <w:rsid w:val="00144716"/>
    <w:rsid w:val="001617C9"/>
    <w:rsid w:val="0016193E"/>
    <w:rsid w:val="001858F8"/>
    <w:rsid w:val="00187CC8"/>
    <w:rsid w:val="001A0FEB"/>
    <w:rsid w:val="001B2F89"/>
    <w:rsid w:val="001B56C4"/>
    <w:rsid w:val="001E2B0C"/>
    <w:rsid w:val="001E6F0E"/>
    <w:rsid w:val="00222968"/>
    <w:rsid w:val="00223E43"/>
    <w:rsid w:val="0022754A"/>
    <w:rsid w:val="00235D09"/>
    <w:rsid w:val="002A377D"/>
    <w:rsid w:val="002C1878"/>
    <w:rsid w:val="002C636C"/>
    <w:rsid w:val="002D3504"/>
    <w:rsid w:val="00301D1F"/>
    <w:rsid w:val="00311B81"/>
    <w:rsid w:val="00320EE5"/>
    <w:rsid w:val="00321798"/>
    <w:rsid w:val="00340E66"/>
    <w:rsid w:val="003503FF"/>
    <w:rsid w:val="00376817"/>
    <w:rsid w:val="003A30BD"/>
    <w:rsid w:val="00442C6D"/>
    <w:rsid w:val="004507AE"/>
    <w:rsid w:val="00451C6D"/>
    <w:rsid w:val="00457790"/>
    <w:rsid w:val="0047091B"/>
    <w:rsid w:val="004B49E7"/>
    <w:rsid w:val="004B5ED3"/>
    <w:rsid w:val="004D2FA1"/>
    <w:rsid w:val="004E7284"/>
    <w:rsid w:val="00516757"/>
    <w:rsid w:val="00524880"/>
    <w:rsid w:val="00533FCA"/>
    <w:rsid w:val="0053624C"/>
    <w:rsid w:val="0054114E"/>
    <w:rsid w:val="0054428A"/>
    <w:rsid w:val="00572795"/>
    <w:rsid w:val="00581672"/>
    <w:rsid w:val="005A0DC2"/>
    <w:rsid w:val="005A6970"/>
    <w:rsid w:val="005D5135"/>
    <w:rsid w:val="005E1D69"/>
    <w:rsid w:val="005E5E77"/>
    <w:rsid w:val="00610303"/>
    <w:rsid w:val="00624679"/>
    <w:rsid w:val="006426A9"/>
    <w:rsid w:val="006500F2"/>
    <w:rsid w:val="00672827"/>
    <w:rsid w:val="0069709F"/>
    <w:rsid w:val="006B4469"/>
    <w:rsid w:val="006B7F74"/>
    <w:rsid w:val="006C2C32"/>
    <w:rsid w:val="006E72C5"/>
    <w:rsid w:val="006F7B10"/>
    <w:rsid w:val="00712673"/>
    <w:rsid w:val="0071514A"/>
    <w:rsid w:val="00721721"/>
    <w:rsid w:val="00740D98"/>
    <w:rsid w:val="00753138"/>
    <w:rsid w:val="00755CF3"/>
    <w:rsid w:val="007621EB"/>
    <w:rsid w:val="00771F8F"/>
    <w:rsid w:val="007849A9"/>
    <w:rsid w:val="0078568E"/>
    <w:rsid w:val="007A76DF"/>
    <w:rsid w:val="007B301D"/>
    <w:rsid w:val="00802BA6"/>
    <w:rsid w:val="00805FD8"/>
    <w:rsid w:val="00811390"/>
    <w:rsid w:val="00817153"/>
    <w:rsid w:val="00824DD5"/>
    <w:rsid w:val="0086169C"/>
    <w:rsid w:val="00861DDB"/>
    <w:rsid w:val="008675F8"/>
    <w:rsid w:val="00880426"/>
    <w:rsid w:val="008B64C0"/>
    <w:rsid w:val="008B766D"/>
    <w:rsid w:val="008C2B14"/>
    <w:rsid w:val="008E625E"/>
    <w:rsid w:val="008E75DA"/>
    <w:rsid w:val="008F164D"/>
    <w:rsid w:val="00900B65"/>
    <w:rsid w:val="00901041"/>
    <w:rsid w:val="00911C83"/>
    <w:rsid w:val="00924837"/>
    <w:rsid w:val="00941814"/>
    <w:rsid w:val="00956911"/>
    <w:rsid w:val="00964B15"/>
    <w:rsid w:val="0098267B"/>
    <w:rsid w:val="00987159"/>
    <w:rsid w:val="009A36A9"/>
    <w:rsid w:val="009C1E95"/>
    <w:rsid w:val="009F25EB"/>
    <w:rsid w:val="009F2EC3"/>
    <w:rsid w:val="00A0165F"/>
    <w:rsid w:val="00A07AC5"/>
    <w:rsid w:val="00A07FA5"/>
    <w:rsid w:val="00A104F4"/>
    <w:rsid w:val="00A107E7"/>
    <w:rsid w:val="00A16D89"/>
    <w:rsid w:val="00A32262"/>
    <w:rsid w:val="00A359BD"/>
    <w:rsid w:val="00A63F7A"/>
    <w:rsid w:val="00A94E1B"/>
    <w:rsid w:val="00A96C51"/>
    <w:rsid w:val="00A977B7"/>
    <w:rsid w:val="00AB7390"/>
    <w:rsid w:val="00AD6F36"/>
    <w:rsid w:val="00AD73C1"/>
    <w:rsid w:val="00AD762C"/>
    <w:rsid w:val="00AE59BD"/>
    <w:rsid w:val="00AF211F"/>
    <w:rsid w:val="00B1246E"/>
    <w:rsid w:val="00B15F6B"/>
    <w:rsid w:val="00B2533E"/>
    <w:rsid w:val="00B300E0"/>
    <w:rsid w:val="00B4706C"/>
    <w:rsid w:val="00B520F7"/>
    <w:rsid w:val="00B60E2D"/>
    <w:rsid w:val="00B84B35"/>
    <w:rsid w:val="00B84FD4"/>
    <w:rsid w:val="00BF712F"/>
    <w:rsid w:val="00C0686B"/>
    <w:rsid w:val="00C15681"/>
    <w:rsid w:val="00C335C4"/>
    <w:rsid w:val="00C33B51"/>
    <w:rsid w:val="00C5046C"/>
    <w:rsid w:val="00C516A1"/>
    <w:rsid w:val="00C53E6C"/>
    <w:rsid w:val="00C668B6"/>
    <w:rsid w:val="00C80AD2"/>
    <w:rsid w:val="00C80CDB"/>
    <w:rsid w:val="00C855B6"/>
    <w:rsid w:val="00C91F7F"/>
    <w:rsid w:val="00CA2BA0"/>
    <w:rsid w:val="00CB33E5"/>
    <w:rsid w:val="00CD617B"/>
    <w:rsid w:val="00D02EDC"/>
    <w:rsid w:val="00D2513A"/>
    <w:rsid w:val="00D35E0D"/>
    <w:rsid w:val="00D3749A"/>
    <w:rsid w:val="00D37641"/>
    <w:rsid w:val="00D60F68"/>
    <w:rsid w:val="00D6152F"/>
    <w:rsid w:val="00D6507C"/>
    <w:rsid w:val="00D732B0"/>
    <w:rsid w:val="00D8153D"/>
    <w:rsid w:val="00DB23A4"/>
    <w:rsid w:val="00DD792B"/>
    <w:rsid w:val="00DE05FC"/>
    <w:rsid w:val="00E001A4"/>
    <w:rsid w:val="00E37340"/>
    <w:rsid w:val="00E40280"/>
    <w:rsid w:val="00E469E9"/>
    <w:rsid w:val="00E50EE0"/>
    <w:rsid w:val="00E742CA"/>
    <w:rsid w:val="00E90583"/>
    <w:rsid w:val="00EA38C5"/>
    <w:rsid w:val="00EA4FBF"/>
    <w:rsid w:val="00EB319A"/>
    <w:rsid w:val="00EC6CEF"/>
    <w:rsid w:val="00ED37B2"/>
    <w:rsid w:val="00F076B3"/>
    <w:rsid w:val="00F14C94"/>
    <w:rsid w:val="00F37326"/>
    <w:rsid w:val="00F41F84"/>
    <w:rsid w:val="00F42907"/>
    <w:rsid w:val="00F5586C"/>
    <w:rsid w:val="00F63432"/>
    <w:rsid w:val="00F96CCA"/>
    <w:rsid w:val="00FB27AD"/>
    <w:rsid w:val="00FC1B1C"/>
    <w:rsid w:val="00FC5DE0"/>
    <w:rsid w:val="00FE0D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5953"/>
    <o:shapelayout v:ext="edit">
      <o:idmap v:ext="edit" data="1"/>
    </o:shapelayout>
  </w:shapeDefaults>
  <w:decimalSymbol w:val="."/>
  <w:listSeparator w:val=","/>
  <w14:docId w14:val="1C009FBB"/>
  <w15:docId w15:val="{052A3D18-F439-4696-9F86-1E5CAEE67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
    <w:basedOn w:val="a2"/>
    <w:next w:val="a2"/>
    <w:link w:val="12"/>
    <w:uiPriority w:val="9"/>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e">
    <w:name w:val="List Paragraph"/>
    <w:basedOn w:val="a2"/>
    <w:link w:val="af"/>
    <w:uiPriority w:val="34"/>
    <w:qFormat/>
    <w:rsid w:val="00805FD8"/>
    <w:pPr>
      <w:ind w:left="720"/>
      <w:contextualSpacing/>
    </w:pPr>
  </w:style>
  <w:style w:type="character" w:customStyle="1" w:styleId="af">
    <w:name w:val="פיסקת רשימה תו"/>
    <w:basedOn w:val="a3"/>
    <w:link w:val="ae"/>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2"/>
    <w:link w:val="af1"/>
    <w:rsid w:val="00F37326"/>
    <w:pPr>
      <w:jc w:val="both"/>
    </w:pPr>
    <w:rPr>
      <w:szCs w:val="24"/>
    </w:rPr>
  </w:style>
  <w:style w:type="character" w:customStyle="1" w:styleId="af1">
    <w:name w:val="גוף טקסט תו"/>
    <w:basedOn w:val="a3"/>
    <w:link w:val="af0"/>
    <w:rsid w:val="00F37326"/>
    <w:rPr>
      <w:rFonts w:cs="David"/>
      <w:sz w:val="24"/>
      <w:szCs w:val="24"/>
    </w:rPr>
  </w:style>
  <w:style w:type="table" w:styleId="af2">
    <w:name w:val="Table Grid"/>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3"/>
    <w:rsid w:val="00F37326"/>
    <w:rPr>
      <w:sz w:val="16"/>
      <w:szCs w:val="16"/>
    </w:rPr>
  </w:style>
  <w:style w:type="paragraph" w:styleId="af4">
    <w:name w:val="annotation text"/>
    <w:basedOn w:val="a2"/>
    <w:link w:val="af5"/>
    <w:rsid w:val="00F37326"/>
    <w:rPr>
      <w:sz w:val="20"/>
      <w:szCs w:val="20"/>
    </w:rPr>
  </w:style>
  <w:style w:type="character" w:customStyle="1" w:styleId="af5">
    <w:name w:val="טקסט הערה תו"/>
    <w:basedOn w:val="a3"/>
    <w:link w:val="af4"/>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2"/>
    <w:rsid w:val="00F37326"/>
    <w:pPr>
      <w:overflowPunct w:val="0"/>
      <w:autoSpaceDE w:val="0"/>
      <w:autoSpaceDN w:val="0"/>
      <w:adjustRightInd w:val="0"/>
      <w:ind w:left="2642" w:hanging="1933"/>
      <w:jc w:val="both"/>
    </w:pPr>
    <w:rPr>
      <w:sz w:val="20"/>
      <w:szCs w:val="24"/>
      <w:lang w:eastAsia="he-IL"/>
    </w:rPr>
  </w:style>
  <w:style w:type="paragraph" w:customStyle="1" w:styleId="a">
    <w:name w:val="כותרת סעיף"/>
    <w:basedOn w:val="a2"/>
    <w:rsid w:val="005A6970"/>
    <w:pPr>
      <w:numPr>
        <w:numId w:val="28"/>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5A6970"/>
    <w:pPr>
      <w:numPr>
        <w:ilvl w:val="1"/>
        <w:numId w:val="28"/>
      </w:numPr>
      <w:spacing w:line="360" w:lineRule="auto"/>
      <w:jc w:val="both"/>
    </w:pPr>
    <w:rPr>
      <w:rFonts w:ascii="Arial" w:hAnsi="Arial" w:cs="Arial"/>
      <w:sz w:val="22"/>
      <w:szCs w:val="22"/>
    </w:rPr>
  </w:style>
  <w:style w:type="paragraph" w:customStyle="1" w:styleId="a1">
    <w:name w:val="תת סעיף"/>
    <w:basedOn w:val="a2"/>
    <w:rsid w:val="005A6970"/>
    <w:pPr>
      <w:numPr>
        <w:ilvl w:val="2"/>
        <w:numId w:val="28"/>
      </w:numPr>
      <w:spacing w:line="360" w:lineRule="auto"/>
      <w:jc w:val="both"/>
    </w:pPr>
    <w:rPr>
      <w:rFonts w:cs="Arial"/>
      <w:sz w:val="22"/>
      <w:szCs w:val="22"/>
    </w:rPr>
  </w:style>
  <w:style w:type="paragraph" w:customStyle="1" w:styleId="10">
    <w:name w:val="תת סעיף1"/>
    <w:basedOn w:val="a1"/>
    <w:rsid w:val="005A6970"/>
    <w:pPr>
      <w:numPr>
        <w:ilvl w:val="3"/>
      </w:numPr>
    </w:pPr>
  </w:style>
  <w:style w:type="character" w:customStyle="1" w:styleId="12">
    <w:name w:val="כותרת 1 תו"/>
    <w:aliases w:val="Heading 1 תו,H2 תו,Header 1 תו,II+ תו,I תו,ראש פרק תו"/>
    <w:basedOn w:val="a3"/>
    <w:link w:val="11"/>
    <w:uiPriority w:val="9"/>
    <w:rsid w:val="00E37340"/>
    <w:rPr>
      <w:rFonts w:cs="David"/>
      <w:b/>
      <w:bCs/>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חת_264_2014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19 ביוני 2014</DocumentCreateDateEnglish>
    <DocumentCreateDateHebrew xmlns="8f5b83e0-a1d3-486c-bd07-833a425c74af">כ"א בסיון התשע"ד</DocumentCreateDateHebrew>
    <SubjectDocument xmlns="8f5b83e0-a1d3-486c-bd07-833a425c74af">מכרז 5/14 לקבלת שירותי ייעוץ ותכנון אסטרטגי עבור רשות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19/06/2014 04:54;27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264</CounterString>
    <LastLockUser xmlns="8f5b83e0-a1d3-486c-bd07-833a425c74af" xsi:nil="true"/>
    <LastCheckOutDate xmlns="8f5b83e0-a1d3-486c-bd07-833a425c74af">19/06/2014 04:47;12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HT_264_2014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2014-06-19T00:00:00+00:00</DocumentCreateDate>
  </documentManagement>
</p:properti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http://www.w3.org/XML/1998/namespace"/>
    <ds:schemaRef ds:uri="http://schemas.microsoft.com/office/2006/documentManagement/types"/>
    <ds:schemaRef ds:uri="http://purl.org/dc/dcmitype/"/>
    <ds:schemaRef ds:uri="http://schemas.openxmlformats.org/package/2006/metadata/core-properties"/>
    <ds:schemaRef ds:uri="87b98568-e8c7-4058-bf31-e11803adaf85"/>
    <ds:schemaRef ds:uri="http://purl.org/dc/terms/"/>
    <ds:schemaRef ds:uri="http://purl.org/dc/elements/1.1/"/>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EE0B33C9-644E-4C54-B52C-FDE26EEFA2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07D00BBE-EF2C-4916-86C4-74446C300E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344</Words>
  <Characters>1721</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2012-07-22T07:17:00Z</cp:lastPrinted>
  <dcterms:created xsi:type="dcterms:W3CDTF">2014-06-23T05:40:00Z</dcterms:created>
  <dcterms:modified xsi:type="dcterms:W3CDTF">2014-06-23T05:40:00Z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490000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